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10/21/2025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completed the export history tracking system, allowing users to view previously generated reports with timestamps and file types. I also added a “re-download” option for convenience.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begin implementing export scheduling so users can automate recurring report generation.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export logs occasionally duplicate entries when simultaneous exports occur. I’ll refine the transaction control to prevent concurrency issues.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integrated the color-coded dashboard indicators. Performance issues are now highlighted with yellow or red badges based on severity. I also adjusted the metric polling rate to improve real-time responsiveness.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link the visual indicators with the alert threshold system so users can click an icon to view related logs directly.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indicators persist after the underlying issue is resolved due to cache timing. I’m syncing the cache invalidation logic with live metric updates.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finished the severity filter and added export functionality for alert logs. I also improved socket error recovery, reducing dropped sessions during network interruptions.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integrate user-defined alert categories and provide sorting options by date, type, or source.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When filtering by multiple criteria, the UI sometimes re-renders too frequently. I’m optimizing the state update cycle using memoization.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completed the “share theme” feature, allowing users to export and import theme presets via JSON files. I also added a confirmation modal for saving changes.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work on integrating user profile syncing so saved themes persist across devices.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imported themes fail validation if edited manually. I’m adding schema verification and auto-correction for incomplete files.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